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DE6" w:rsidRPr="00073889" w:rsidRDefault="008C6DE6">
      <w:bookmarkStart w:id="0" w:name="_GoBack"/>
      <w:bookmarkEnd w:id="0"/>
    </w:p>
    <w:p w:rsidR="008C6DE6" w:rsidRPr="00073889" w:rsidRDefault="008C6DE6" w:rsidP="008C6DE6">
      <w:pPr>
        <w:contextualSpacing/>
      </w:pPr>
      <w:r w:rsidRPr="00073889">
        <w:t>TOEGESTANE DIENSTEN</w:t>
      </w:r>
    </w:p>
    <w:p w:rsidR="008C6DE6" w:rsidRPr="00073889" w:rsidRDefault="008C6DE6" w:rsidP="008C6DE6">
      <w:pPr>
        <w:contextualSpacing/>
      </w:pPr>
    </w:p>
    <w:p w:rsidR="008C6DE6" w:rsidRPr="00073889" w:rsidRDefault="008C6DE6" w:rsidP="008C6DE6">
      <w:pPr>
        <w:pStyle w:val="Lijstalinea"/>
        <w:numPr>
          <w:ilvl w:val="2"/>
          <w:numId w:val="10"/>
        </w:numPr>
        <w:ind w:left="851"/>
      </w:pPr>
      <w:r w:rsidRPr="00073889">
        <w:t>de wettelijke controle van de (geconsolideerde) jaarrekening</w:t>
      </w:r>
    </w:p>
    <w:p w:rsidR="008C6DE6" w:rsidRPr="00073889" w:rsidRDefault="008C6DE6" w:rsidP="008C6DE6">
      <w:pPr>
        <w:pStyle w:val="Lijstalinea"/>
        <w:numPr>
          <w:ilvl w:val="2"/>
          <w:numId w:val="10"/>
        </w:numPr>
        <w:ind w:left="851"/>
      </w:pPr>
      <w:r w:rsidRPr="00073889">
        <w:t>de controle of beoordeling van (tussentijdse) financiële overzichten</w:t>
      </w:r>
    </w:p>
    <w:p w:rsidR="008C6DE6" w:rsidRPr="00073889" w:rsidRDefault="008C6DE6" w:rsidP="008C6DE6">
      <w:pPr>
        <w:pStyle w:val="Lijstalinea"/>
        <w:numPr>
          <w:ilvl w:val="2"/>
          <w:numId w:val="10"/>
        </w:numPr>
        <w:ind w:left="851"/>
      </w:pPr>
      <w:r w:rsidRPr="00073889">
        <w:t xml:space="preserve">de verstrekking van </w:t>
      </w:r>
      <w:proofErr w:type="spellStart"/>
      <w:r w:rsidRPr="00073889">
        <w:t>assurance</w:t>
      </w:r>
      <w:proofErr w:type="spellEnd"/>
      <w:r w:rsidRPr="00073889">
        <w:t xml:space="preserve"> met betrekking tot </w:t>
      </w:r>
      <w:r w:rsidR="00F7567D" w:rsidRPr="00073889">
        <w:t>andere aspecten van de</w:t>
      </w:r>
      <w:r w:rsidR="00AB037D" w:rsidRPr="00073889">
        <w:t xml:space="preserve"> </w:t>
      </w:r>
      <w:r w:rsidR="00F7567D" w:rsidRPr="00073889">
        <w:t xml:space="preserve">verslaggeving, zoals </w:t>
      </w:r>
      <w:r w:rsidR="00AB037D" w:rsidRPr="00073889">
        <w:t>het directie</w:t>
      </w:r>
      <w:r w:rsidR="0022521C" w:rsidRPr="00073889">
        <w:t xml:space="preserve">verslag, </w:t>
      </w:r>
      <w:r w:rsidRPr="00073889">
        <w:t xml:space="preserve">corporate </w:t>
      </w:r>
      <w:proofErr w:type="spellStart"/>
      <w:r w:rsidRPr="00073889">
        <w:t>governance</w:t>
      </w:r>
      <w:proofErr w:type="spellEnd"/>
      <w:r w:rsidR="00F7567D" w:rsidRPr="00073889">
        <w:t xml:space="preserve">, risicomanagement of </w:t>
      </w:r>
      <w:r w:rsidRPr="00073889">
        <w:t xml:space="preserve">maatschappelijk verantwoord ondernemen; </w:t>
      </w:r>
    </w:p>
    <w:p w:rsidR="008C6DE6" w:rsidRPr="00073889" w:rsidRDefault="005A04B7" w:rsidP="008C6DE6">
      <w:pPr>
        <w:pStyle w:val="Lijstalinea"/>
        <w:numPr>
          <w:ilvl w:val="2"/>
          <w:numId w:val="10"/>
        </w:numPr>
        <w:ind w:left="851"/>
      </w:pPr>
      <w:r w:rsidRPr="00073889">
        <w:t xml:space="preserve">de verstrekking van </w:t>
      </w:r>
      <w:proofErr w:type="spellStart"/>
      <w:r w:rsidRPr="00073889">
        <w:t>assurance</w:t>
      </w:r>
      <w:proofErr w:type="spellEnd"/>
      <w:r w:rsidRPr="00073889">
        <w:t xml:space="preserve"> en rapportage over uitkomsten van feitenonderzoek</w:t>
      </w:r>
      <w:r w:rsidR="008C6DE6" w:rsidRPr="00073889">
        <w:t xml:space="preserve"> ten behoeve van verantwoordingen voor toezichthouders en belastingdienst;</w:t>
      </w:r>
    </w:p>
    <w:p w:rsidR="008C6DE6" w:rsidRPr="00073889" w:rsidRDefault="008C6DE6" w:rsidP="008C6DE6">
      <w:pPr>
        <w:pStyle w:val="Lijstalinea"/>
        <w:numPr>
          <w:ilvl w:val="2"/>
          <w:numId w:val="10"/>
        </w:numPr>
        <w:ind w:left="851"/>
      </w:pPr>
      <w:r w:rsidRPr="00073889">
        <w:t xml:space="preserve">elke andere wettelijke taak die verband houdt met controlewerkzaamheden die door wetgeving is opgelegd aan de </w:t>
      </w:r>
      <w:r w:rsidR="004833E6">
        <w:t xml:space="preserve">externe accountant of </w:t>
      </w:r>
      <w:r w:rsidR="00B80295">
        <w:t>de</w:t>
      </w:r>
      <w:r w:rsidR="004833E6">
        <w:t xml:space="preserve"> accountants</w:t>
      </w:r>
      <w:r w:rsidR="00B80295">
        <w:t>organisatie (bv. subsidieverklaringen)</w:t>
      </w:r>
      <w:r w:rsidRPr="00073889">
        <w:t>;</w:t>
      </w:r>
    </w:p>
    <w:p w:rsidR="008C6DE6" w:rsidRPr="00073889" w:rsidRDefault="008C6DE6" w:rsidP="008C6DE6">
      <w:pPr>
        <w:pStyle w:val="Lijstalinea"/>
        <w:numPr>
          <w:ilvl w:val="2"/>
          <w:numId w:val="10"/>
        </w:numPr>
        <w:ind w:left="851"/>
      </w:pPr>
      <w:r w:rsidRPr="00073889">
        <w:t xml:space="preserve">de verstrekking van </w:t>
      </w:r>
      <w:proofErr w:type="spellStart"/>
      <w:r w:rsidRPr="00073889">
        <w:t>assurance</w:t>
      </w:r>
      <w:proofErr w:type="spellEnd"/>
      <w:r w:rsidRPr="00073889">
        <w:t xml:space="preserve"> </w:t>
      </w:r>
      <w:r w:rsidR="005A04B7" w:rsidRPr="00073889">
        <w:t>en rapportage over uitkomsten van feitenonderzoek gevraagd door derden (bv. comfort letters)</w:t>
      </w:r>
    </w:p>
    <w:p w:rsidR="003B793C" w:rsidRDefault="005A04B7" w:rsidP="003B793C">
      <w:pPr>
        <w:pStyle w:val="Lijstalinea"/>
        <w:numPr>
          <w:ilvl w:val="2"/>
          <w:numId w:val="10"/>
        </w:numPr>
        <w:ind w:left="851"/>
      </w:pPr>
      <w:r w:rsidRPr="00073889">
        <w:t xml:space="preserve">de verstrekking van </w:t>
      </w:r>
      <w:proofErr w:type="spellStart"/>
      <w:r w:rsidRPr="00073889">
        <w:t>assurance</w:t>
      </w:r>
      <w:proofErr w:type="spellEnd"/>
      <w:r w:rsidRPr="00073889">
        <w:t xml:space="preserve"> en rapportage over uitkomsten van feitenonderzoek ten behoeve van de Raad van Commissarissen (bv. op het gebied van interne beheersing, fusies en overnames</w:t>
      </w:r>
      <w:r w:rsidR="004833E6">
        <w:t>,</w:t>
      </w:r>
      <w:r w:rsidRPr="00073889">
        <w:t xml:space="preserve"> en fraude). </w:t>
      </w:r>
      <w:r w:rsidR="003B793C">
        <w:br w:type="page"/>
      </w:r>
    </w:p>
    <w:p w:rsidR="003B793C" w:rsidRDefault="003B793C" w:rsidP="003B793C">
      <w:pPr>
        <w:ind w:left="671"/>
      </w:pPr>
      <w:r>
        <w:lastRenderedPageBreak/>
        <w:t>TOELICHTING OP TOEGESTANE DIENSTEN</w:t>
      </w:r>
    </w:p>
    <w:p w:rsidR="003B793C" w:rsidRDefault="003B793C" w:rsidP="003B793C">
      <w:pPr>
        <w:pStyle w:val="Lijstalinea"/>
        <w:numPr>
          <w:ilvl w:val="0"/>
          <w:numId w:val="11"/>
        </w:numPr>
      </w:pPr>
      <w:r>
        <w:t>Behoeft geen nadere toelichting</w:t>
      </w:r>
      <w:r>
        <w:br/>
      </w:r>
    </w:p>
    <w:p w:rsidR="003B793C" w:rsidRDefault="003B793C" w:rsidP="003B793C">
      <w:pPr>
        <w:pStyle w:val="Lijstalinea"/>
        <w:numPr>
          <w:ilvl w:val="0"/>
          <w:numId w:val="11"/>
        </w:numPr>
      </w:pPr>
      <w:r>
        <w:t>Gebruikelijk is dat de accountant de kwartaalcijfers beoordeelt; soms leidt dit tot een beoordelingsverklaring bij deze cijfers, hetgeen beleggers meer vertrouwen hierin geeft. Dit verbieden is slecht voor het functioneren van de kapitaalmarkten en plaatst NL in een uitzonderlijke positie.</w:t>
      </w:r>
      <w:r>
        <w:br/>
      </w:r>
    </w:p>
    <w:p w:rsidR="003B793C" w:rsidRDefault="003B793C" w:rsidP="003B793C">
      <w:pPr>
        <w:pStyle w:val="Lijstalinea"/>
        <w:numPr>
          <w:ilvl w:val="0"/>
          <w:numId w:val="11"/>
        </w:numPr>
      </w:pPr>
      <w:r>
        <w:t xml:space="preserve">MVO, </w:t>
      </w:r>
      <w:proofErr w:type="spellStart"/>
      <w:r>
        <w:t>integrated</w:t>
      </w:r>
      <w:proofErr w:type="spellEnd"/>
      <w:r>
        <w:t xml:space="preserve"> </w:t>
      </w:r>
      <w:proofErr w:type="spellStart"/>
      <w:r>
        <w:t>reporting</w:t>
      </w:r>
      <w:proofErr w:type="spellEnd"/>
      <w:r>
        <w:t xml:space="preserve">, risicomanagement </w:t>
      </w:r>
      <w:proofErr w:type="spellStart"/>
      <w:r>
        <w:t>etc</w:t>
      </w:r>
      <w:proofErr w:type="spellEnd"/>
      <w:r>
        <w:t xml:space="preserve">, ligt in lijn met de accountantsfunctie en de toegenomen maatschappelijke behoefte aan </w:t>
      </w:r>
      <w:proofErr w:type="spellStart"/>
      <w:r>
        <w:t>assurance</w:t>
      </w:r>
      <w:proofErr w:type="spellEnd"/>
      <w:r>
        <w:t>; vele ondernemingen laten hun MVO verslag, soms geïntegreerd in hun jaarverslag, certificeren door hun accountant. Dit verbieden is slecht voor het functioneren van de kapitaalmarkten en plaatst NL in een uitzonderlijke positie.</w:t>
      </w:r>
      <w:r>
        <w:br/>
      </w:r>
    </w:p>
    <w:p w:rsidR="003B793C" w:rsidRDefault="003B793C" w:rsidP="003B793C">
      <w:pPr>
        <w:pStyle w:val="Lijstalinea"/>
        <w:numPr>
          <w:ilvl w:val="0"/>
          <w:numId w:val="11"/>
        </w:numPr>
      </w:pPr>
      <w:r>
        <w:t xml:space="preserve">DNB laat de maandstaten van onder </w:t>
      </w:r>
      <w:proofErr w:type="spellStart"/>
      <w:r>
        <w:t>toezichtgestelden</w:t>
      </w:r>
      <w:proofErr w:type="spellEnd"/>
      <w:r>
        <w:t xml:space="preserve">, zoals banken, verzekeringsmaatschappijen en pensioenfondsen </w:t>
      </w:r>
      <w:proofErr w:type="spellStart"/>
      <w:r>
        <w:t>tbv</w:t>
      </w:r>
      <w:proofErr w:type="spellEnd"/>
      <w:r>
        <w:t xml:space="preserve"> het toezicht eenmaal per jaar certificeren door de accountant. Dit verbieden zou het effectief toezicht aanzienlijk bemoeilijken. De Accountantsdiensten van het Rijk (</w:t>
      </w:r>
      <w:proofErr w:type="spellStart"/>
      <w:r>
        <w:t>DAD’s</w:t>
      </w:r>
      <w:proofErr w:type="spellEnd"/>
      <w:r>
        <w:t xml:space="preserve">) laten accountants volgens bepaalde </w:t>
      </w:r>
      <w:r w:rsidRPr="0023458E">
        <w:t>controleprotocollen rapporteren over de rechtmatig</w:t>
      </w:r>
      <w:r>
        <w:t>heid van de</w:t>
      </w:r>
      <w:r w:rsidRPr="0023458E">
        <w:t xml:space="preserve"> besteding van publieke middelen. Dit verbieden bij</w:t>
      </w:r>
      <w:r>
        <w:t xml:space="preserve"> wettelijke controles zou de controle van publieke gelden praktisch onmogelijk maken.</w:t>
      </w:r>
      <w:r>
        <w:br/>
      </w:r>
    </w:p>
    <w:p w:rsidR="003B793C" w:rsidRDefault="003B793C" w:rsidP="003B793C">
      <w:pPr>
        <w:pStyle w:val="Lijstalinea"/>
        <w:numPr>
          <w:ilvl w:val="0"/>
          <w:numId w:val="11"/>
        </w:numPr>
      </w:pPr>
      <w:r>
        <w:t>Vele wettelijke subsidiegelden (zowel in NL als Europees) vragen een accountantsverklaring bij de juistheid van subsidiedeclaraties (dus geen subsidie advies!) .  Dit verbieden maakt het veel duurder om deze verklaringen te verkrijgen omdat werk dubbel gedaan moet worden. De zittende accountant gebruikt de comfort die hij uit zijn controle heeft verkregen.</w:t>
      </w:r>
      <w:r>
        <w:br/>
      </w:r>
    </w:p>
    <w:p w:rsidR="003B793C" w:rsidRDefault="003B793C" w:rsidP="003B793C">
      <w:pPr>
        <w:pStyle w:val="Lijstalinea"/>
        <w:numPr>
          <w:ilvl w:val="0"/>
          <w:numId w:val="11"/>
        </w:numPr>
      </w:pPr>
      <w:r>
        <w:t xml:space="preserve">Comfortletters worden gevraagd door banken die kapitaalmarkt transacties begeleiden en </w:t>
      </w:r>
      <w:proofErr w:type="spellStart"/>
      <w:r>
        <w:t>underwriten</w:t>
      </w:r>
      <w:proofErr w:type="spellEnd"/>
      <w:r>
        <w:t xml:space="preserve">. Dit geldt zowel voor aandelen emissies, als (her)financieren. De accountant wordt gevraagd om </w:t>
      </w:r>
      <w:r w:rsidRPr="0023458E">
        <w:rPr>
          <w:u w:val="single"/>
        </w:rPr>
        <w:t>in aanvulling op zijn controle van de jaarrekening</w:t>
      </w:r>
      <w:r>
        <w:t xml:space="preserve"> bepaalde zaken te bevestigen. Dit verbieden is slecht voor het functioneren van kapitaalmarkten en maakt het voor </w:t>
      </w:r>
      <w:proofErr w:type="spellStart"/>
      <w:r>
        <w:t>NL’s</w:t>
      </w:r>
      <w:proofErr w:type="spellEnd"/>
      <w:r>
        <w:t xml:space="preserve"> ondernemingen veel moeilijker om gebruik te maken van kapitaalmarkt. Zeker in deze tijd plaatst dit </w:t>
      </w:r>
      <w:proofErr w:type="spellStart"/>
      <w:r>
        <w:t>NL’s</w:t>
      </w:r>
      <w:proofErr w:type="spellEnd"/>
      <w:r>
        <w:t xml:space="preserve"> bedrijven in een nadelige situatie </w:t>
      </w:r>
      <w:proofErr w:type="spellStart"/>
      <w:r>
        <w:t>tov</w:t>
      </w:r>
      <w:proofErr w:type="spellEnd"/>
      <w:r>
        <w:t xml:space="preserve"> het buitenland.</w:t>
      </w:r>
      <w:r>
        <w:br/>
      </w:r>
    </w:p>
    <w:p w:rsidR="003B793C" w:rsidRDefault="003B793C" w:rsidP="003B793C">
      <w:pPr>
        <w:pStyle w:val="Lijstalinea"/>
        <w:numPr>
          <w:ilvl w:val="0"/>
          <w:numId w:val="11"/>
        </w:numPr>
      </w:pPr>
      <w:r>
        <w:t xml:space="preserve">De RvC vraagt de accountant nomaliter om haar te assisteren in </w:t>
      </w:r>
      <w:r w:rsidRPr="007209D0">
        <w:rPr>
          <w:u w:val="single"/>
        </w:rPr>
        <w:t>haar toezichthoudende taak.</w:t>
      </w:r>
      <w:r>
        <w:t xml:space="preserve"> Voorbeelden lopen van het controleren van bonusberekeningen van het topmanagement, het controleren van declaraties van het topmanagement tot het doen van onderzoek naar mogelijke fraudes of onderzoeken naar overnames en verkopen van bedrijfsonderdelen. Hierbij is de accountant vaak de aangegeven partij omdat zij reeds tot de kring van KGI (koers gevoelige informatie ) behoort. Bovendien is de accountant in detail op de hoogte van waarderingsgrondslagen etc. Dit verbieden zou het effectief toezicht door de RvC bemoeilijken en ook niet goed zijn voor stakeholders (bonussen </w:t>
      </w:r>
      <w:proofErr w:type="spellStart"/>
      <w:r>
        <w:t>etc</w:t>
      </w:r>
      <w:proofErr w:type="spellEnd"/>
      <w:r>
        <w:t>). Bovendien zou het NL ondernemingen in een uitzonderlijke en nadelige situatie plaatsen.</w:t>
      </w:r>
      <w:r>
        <w:br/>
        <w:t xml:space="preserve">Een voorbeeld op het gebied van interne beheersing  is de accountant die tijdens zijn </w:t>
      </w:r>
      <w:r>
        <w:lastRenderedPageBreak/>
        <w:t xml:space="preserve">controle constateert dat personen die uit dienst zijn getreden nog steeds toegang hebben tot de IT-systemen van hun voormalig werkgever. De onderneming (RvC) vraagt de accountant hoe dit op te lossen. </w:t>
      </w:r>
    </w:p>
    <w:p w:rsidR="003B793C" w:rsidRDefault="003B793C" w:rsidP="003B793C"/>
    <w:p w:rsidR="003B793C" w:rsidRDefault="003B793C" w:rsidP="003B793C"/>
    <w:p w:rsidR="003B793C" w:rsidRDefault="003B793C">
      <w:r>
        <w:br w:type="page"/>
      </w:r>
    </w:p>
    <w:p w:rsidR="008C6DE6" w:rsidRPr="00073889" w:rsidRDefault="008C6DE6" w:rsidP="008C6DE6">
      <w:pPr>
        <w:spacing w:after="0" w:line="240" w:lineRule="auto"/>
        <w:ind w:left="284"/>
        <w:contextualSpacing/>
      </w:pPr>
      <w:r w:rsidRPr="00073889">
        <w:lastRenderedPageBreak/>
        <w:t>VERBODEN DIENSTEN</w:t>
      </w:r>
    </w:p>
    <w:p w:rsidR="008C6DE6" w:rsidRPr="00073889" w:rsidRDefault="008C6DE6" w:rsidP="008C6DE6">
      <w:pPr>
        <w:spacing w:after="0" w:line="240" w:lineRule="auto"/>
        <w:ind w:left="284"/>
        <w:contextualSpacing/>
      </w:pPr>
    </w:p>
    <w:p w:rsidR="008C6DE6" w:rsidRPr="00073889" w:rsidRDefault="008C6DE6" w:rsidP="008C6DE6">
      <w:pPr>
        <w:pStyle w:val="Lijstalinea"/>
        <w:numPr>
          <w:ilvl w:val="3"/>
          <w:numId w:val="9"/>
        </w:numPr>
        <w:spacing w:after="0" w:line="240" w:lineRule="auto"/>
        <w:ind w:left="709" w:hanging="283"/>
      </w:pPr>
      <w:r w:rsidRPr="00073889">
        <w:t xml:space="preserve">diensten van deskundigen die geen verband houden met de controle, diensten inzake belastingadvies, algemene bedrijfsvoering en andere adviesdiensten, </w:t>
      </w:r>
      <w:r w:rsidR="00D71943" w:rsidRPr="00073889">
        <w:t>te weten</w:t>
      </w:r>
      <w:r w:rsidRPr="00073889">
        <w:t xml:space="preserve">: </w:t>
      </w:r>
    </w:p>
    <w:p w:rsidR="008C6DE6" w:rsidRPr="00073889" w:rsidRDefault="008C6DE6" w:rsidP="008C6DE6">
      <w:pPr>
        <w:pStyle w:val="Lijstalinea"/>
        <w:numPr>
          <w:ilvl w:val="4"/>
          <w:numId w:val="9"/>
        </w:numPr>
        <w:spacing w:after="0" w:line="240" w:lineRule="auto"/>
        <w:ind w:left="1332" w:hanging="481"/>
      </w:pPr>
      <w:r w:rsidRPr="00073889">
        <w:t xml:space="preserve">Waardebepalingen en </w:t>
      </w:r>
      <w:proofErr w:type="spellStart"/>
      <w:r w:rsidRPr="00073889">
        <w:t>purchase</w:t>
      </w:r>
      <w:proofErr w:type="spellEnd"/>
      <w:r w:rsidRPr="00073889">
        <w:t xml:space="preserve"> </w:t>
      </w:r>
      <w:proofErr w:type="spellStart"/>
      <w:r w:rsidRPr="00073889">
        <w:t>price</w:t>
      </w:r>
      <w:proofErr w:type="spellEnd"/>
      <w:r w:rsidRPr="00073889">
        <w:t xml:space="preserve"> </w:t>
      </w:r>
      <w:proofErr w:type="spellStart"/>
      <w:r w:rsidRPr="00073889">
        <w:t>allocations</w:t>
      </w:r>
      <w:proofErr w:type="spellEnd"/>
    </w:p>
    <w:p w:rsidR="00D71943" w:rsidRPr="00073889" w:rsidRDefault="00D71943" w:rsidP="00D71943">
      <w:pPr>
        <w:pStyle w:val="Lijstalinea"/>
        <w:numPr>
          <w:ilvl w:val="4"/>
          <w:numId w:val="9"/>
        </w:numPr>
        <w:spacing w:after="0" w:line="240" w:lineRule="auto"/>
        <w:ind w:left="1332" w:hanging="481"/>
      </w:pPr>
      <w:r w:rsidRPr="00073889">
        <w:t xml:space="preserve">Fiscale advieswerkzaamheden, inclusief fiscale vertegenwoordiging. </w:t>
      </w:r>
    </w:p>
    <w:p w:rsidR="008C6DE6" w:rsidRPr="00073889" w:rsidRDefault="00D71943" w:rsidP="008C6DE6">
      <w:pPr>
        <w:pStyle w:val="Lijstalinea"/>
        <w:numPr>
          <w:ilvl w:val="4"/>
          <w:numId w:val="9"/>
        </w:numPr>
        <w:spacing w:after="0" w:line="240" w:lineRule="auto"/>
        <w:ind w:left="1332" w:hanging="481"/>
      </w:pPr>
      <w:r w:rsidRPr="00073889">
        <w:t>Overige adviesopdrachten, b</w:t>
      </w:r>
      <w:r w:rsidR="008C6DE6" w:rsidRPr="00073889">
        <w:t xml:space="preserve">ijvoorbeeld </w:t>
      </w:r>
      <w:r w:rsidR="00B80295">
        <w:t>op het gebied van</w:t>
      </w:r>
      <w:r w:rsidR="008C6DE6" w:rsidRPr="00073889">
        <w:t xml:space="preserve"> strategie, HR, IT, logistiek, bedrijfsoptimaliser</w:t>
      </w:r>
      <w:r w:rsidR="007B645C" w:rsidRPr="00073889">
        <w:t xml:space="preserve">ing. </w:t>
      </w:r>
    </w:p>
    <w:p w:rsidR="008C6DE6" w:rsidRPr="00073889" w:rsidRDefault="008C6DE6" w:rsidP="008C6DE6">
      <w:pPr>
        <w:pStyle w:val="Lijstalinea"/>
        <w:numPr>
          <w:ilvl w:val="3"/>
          <w:numId w:val="9"/>
        </w:numPr>
        <w:spacing w:after="0" w:line="240" w:lineRule="auto"/>
        <w:ind w:left="709" w:hanging="283"/>
      </w:pPr>
      <w:r w:rsidRPr="00073889">
        <w:t xml:space="preserve">boekhouding en het opstellen van administratieve vastleggingen en financiële overzichten, waaronder: </w:t>
      </w:r>
    </w:p>
    <w:p w:rsidR="008C6DE6" w:rsidRPr="00073889" w:rsidRDefault="008C6DE6" w:rsidP="008C6DE6">
      <w:pPr>
        <w:pStyle w:val="Lijstalinea"/>
        <w:numPr>
          <w:ilvl w:val="4"/>
          <w:numId w:val="9"/>
        </w:numPr>
        <w:spacing w:after="0" w:line="240" w:lineRule="auto"/>
        <w:ind w:left="1332" w:hanging="481"/>
      </w:pPr>
      <w:r w:rsidRPr="00073889">
        <w:t>Administratieve dienstverlening waaronder: verzorgen van de financiële en/of salarisadministratie, samenstellen van de jaarrekening, opstellen van prognoses/ budgetten, liquiditeitsberekeningen</w:t>
      </w:r>
    </w:p>
    <w:p w:rsidR="00E472B7" w:rsidRPr="00073889" w:rsidRDefault="008C6DE6" w:rsidP="008C6DE6">
      <w:pPr>
        <w:pStyle w:val="Lijstalinea"/>
        <w:numPr>
          <w:ilvl w:val="4"/>
          <w:numId w:val="9"/>
        </w:numPr>
        <w:spacing w:after="0" w:line="240" w:lineRule="auto"/>
        <w:ind w:left="1332" w:hanging="481"/>
      </w:pPr>
      <w:r w:rsidRPr="00073889">
        <w:t>Opstellen van f</w:t>
      </w:r>
      <w:r w:rsidR="005A04B7" w:rsidRPr="00073889">
        <w:t>iscale aangiften</w:t>
      </w:r>
    </w:p>
    <w:p w:rsidR="008C6DE6" w:rsidRPr="00073889" w:rsidRDefault="00E472B7" w:rsidP="008C6DE6">
      <w:pPr>
        <w:pStyle w:val="Lijstalinea"/>
        <w:numPr>
          <w:ilvl w:val="4"/>
          <w:numId w:val="9"/>
        </w:numPr>
        <w:spacing w:after="0" w:line="240" w:lineRule="auto"/>
        <w:ind w:left="1332" w:hanging="481"/>
      </w:pPr>
      <w:r w:rsidRPr="00073889">
        <w:t>Zelfstandig bepalen van de fiscale positie</w:t>
      </w:r>
      <w:r w:rsidR="005A04B7" w:rsidRPr="00073889">
        <w:t xml:space="preserve"> </w:t>
      </w:r>
    </w:p>
    <w:p w:rsidR="008C6DE6" w:rsidRPr="00073889" w:rsidRDefault="008C6DE6" w:rsidP="008C6DE6">
      <w:pPr>
        <w:pStyle w:val="Lijstalinea"/>
        <w:numPr>
          <w:ilvl w:val="3"/>
          <w:numId w:val="9"/>
        </w:numPr>
        <w:spacing w:after="0" w:line="240" w:lineRule="auto"/>
        <w:ind w:left="709" w:hanging="283"/>
      </w:pPr>
      <w:r w:rsidRPr="00073889">
        <w:t xml:space="preserve">het ontwikkelen en implementeren van de interne beheersings- of </w:t>
      </w:r>
      <w:proofErr w:type="spellStart"/>
      <w:r w:rsidRPr="00073889">
        <w:t>risicobeheersprocedure</w:t>
      </w:r>
      <w:proofErr w:type="spellEnd"/>
      <w:r w:rsidRPr="00073889">
        <w:t xml:space="preserve"> die verband houdt met de opstelling en/of controle van financiële informatie in de financiële ov</w:t>
      </w:r>
      <w:r w:rsidR="005A04B7" w:rsidRPr="00073889">
        <w:t xml:space="preserve">erzichten, </w:t>
      </w:r>
      <w:r w:rsidRPr="00073889">
        <w:t xml:space="preserve">waaronder: </w:t>
      </w:r>
    </w:p>
    <w:p w:rsidR="005A04B7" w:rsidRPr="00073889" w:rsidRDefault="008C6DE6" w:rsidP="005A04B7">
      <w:pPr>
        <w:pStyle w:val="Lijstalinea"/>
        <w:numPr>
          <w:ilvl w:val="4"/>
          <w:numId w:val="9"/>
        </w:numPr>
        <w:spacing w:after="0" w:line="240" w:lineRule="auto"/>
        <w:ind w:left="1332" w:hanging="481"/>
      </w:pPr>
      <w:r w:rsidRPr="00073889">
        <w:t xml:space="preserve">Ontwerp en implementatie van de inrichting van de </w:t>
      </w:r>
      <w:r w:rsidR="00AB037D" w:rsidRPr="00073889">
        <w:t>administratieve organisatie en interne beheersing</w:t>
      </w:r>
    </w:p>
    <w:p w:rsidR="008C6DE6" w:rsidRPr="00073889" w:rsidRDefault="005A04B7" w:rsidP="005A04B7">
      <w:pPr>
        <w:pStyle w:val="Lijstalinea"/>
        <w:numPr>
          <w:ilvl w:val="4"/>
          <w:numId w:val="9"/>
        </w:numPr>
        <w:spacing w:after="0" w:line="240" w:lineRule="auto"/>
        <w:ind w:left="1332" w:hanging="481"/>
      </w:pPr>
      <w:r w:rsidRPr="00073889">
        <w:t>Ontwerp en implementatie van een financieel informatiesysteem</w:t>
      </w:r>
    </w:p>
    <w:p w:rsidR="008C6DE6" w:rsidRPr="00073889" w:rsidRDefault="008C6DE6" w:rsidP="008C6DE6">
      <w:pPr>
        <w:pStyle w:val="Lijstalinea"/>
        <w:numPr>
          <w:ilvl w:val="3"/>
          <w:numId w:val="9"/>
        </w:numPr>
        <w:spacing w:after="0" w:line="240" w:lineRule="auto"/>
        <w:ind w:left="709" w:hanging="283"/>
      </w:pPr>
      <w:r w:rsidRPr="00073889">
        <w:t xml:space="preserve">waarderingsdiensten, het geven </w:t>
      </w:r>
      <w:proofErr w:type="spellStart"/>
      <w:r w:rsidRPr="00073889">
        <w:t>fairness</w:t>
      </w:r>
      <w:proofErr w:type="spellEnd"/>
      <w:r w:rsidRPr="00073889">
        <w:t xml:space="preserve"> opinies of inbreng verklaringen,  waaronder: </w:t>
      </w:r>
    </w:p>
    <w:p w:rsidR="008C6DE6" w:rsidRPr="00073889" w:rsidRDefault="008C6DE6" w:rsidP="008C6DE6">
      <w:pPr>
        <w:pStyle w:val="Lijstalinea"/>
        <w:numPr>
          <w:ilvl w:val="4"/>
          <w:numId w:val="9"/>
        </w:numPr>
        <w:spacing w:after="0" w:line="240" w:lineRule="auto"/>
        <w:ind w:left="1332" w:hanging="481"/>
      </w:pPr>
      <w:r w:rsidRPr="00073889">
        <w:t>Werkzaamheden waarbij de accountant posities in de jaarrekening berekent en vervolgens zichzelf controleert</w:t>
      </w:r>
    </w:p>
    <w:p w:rsidR="008C6DE6" w:rsidRPr="00073889" w:rsidRDefault="008C6DE6" w:rsidP="008C6DE6">
      <w:pPr>
        <w:pStyle w:val="Lijstalinea"/>
        <w:numPr>
          <w:ilvl w:val="4"/>
          <w:numId w:val="9"/>
        </w:numPr>
        <w:spacing w:after="0" w:line="240" w:lineRule="auto"/>
        <w:ind w:left="1332" w:hanging="481"/>
      </w:pPr>
      <w:r w:rsidRPr="00073889">
        <w:t xml:space="preserve">Het afgeven van </w:t>
      </w:r>
      <w:proofErr w:type="spellStart"/>
      <w:r w:rsidRPr="00073889">
        <w:t>fairness</w:t>
      </w:r>
      <w:proofErr w:type="spellEnd"/>
      <w:r w:rsidRPr="00073889">
        <w:t xml:space="preserve"> opinies, tenzij vereist door de wet</w:t>
      </w:r>
    </w:p>
    <w:p w:rsidR="008C6DE6" w:rsidRPr="00073889" w:rsidRDefault="008C6DE6" w:rsidP="008C6DE6">
      <w:pPr>
        <w:pStyle w:val="Lijstalinea"/>
        <w:numPr>
          <w:ilvl w:val="4"/>
          <w:numId w:val="9"/>
        </w:numPr>
        <w:spacing w:after="0" w:line="240" w:lineRule="auto"/>
        <w:ind w:left="1332" w:hanging="481"/>
      </w:pPr>
      <w:r w:rsidRPr="00073889">
        <w:t>Het berekenen van de schade in een schadestaatprocedure</w:t>
      </w:r>
    </w:p>
    <w:p w:rsidR="008C6DE6" w:rsidRPr="00073889" w:rsidRDefault="008C6DE6" w:rsidP="008C6DE6">
      <w:pPr>
        <w:pStyle w:val="Lijstalinea"/>
        <w:numPr>
          <w:ilvl w:val="3"/>
          <w:numId w:val="9"/>
        </w:numPr>
        <w:spacing w:after="0" w:line="240" w:lineRule="auto"/>
        <w:ind w:left="709" w:hanging="283"/>
      </w:pPr>
      <w:r w:rsidRPr="00073889">
        <w:t xml:space="preserve">actuariële en juridische diensten, waaronder de beslechting van rechtsgeschillen; </w:t>
      </w:r>
    </w:p>
    <w:p w:rsidR="008C6DE6" w:rsidRPr="00073889" w:rsidRDefault="008C6DE6" w:rsidP="008C6DE6">
      <w:pPr>
        <w:pStyle w:val="Lijstalinea"/>
        <w:numPr>
          <w:ilvl w:val="4"/>
          <w:numId w:val="9"/>
        </w:numPr>
        <w:spacing w:after="0" w:line="240" w:lineRule="auto"/>
        <w:ind w:left="1332" w:hanging="481"/>
      </w:pPr>
      <w:r w:rsidRPr="00073889">
        <w:t>Het bepalen van de actuariële positie</w:t>
      </w:r>
    </w:p>
    <w:p w:rsidR="008C6DE6" w:rsidRPr="00073889" w:rsidRDefault="008C6DE6" w:rsidP="008C6DE6">
      <w:pPr>
        <w:pStyle w:val="Lijstalinea"/>
        <w:numPr>
          <w:ilvl w:val="4"/>
          <w:numId w:val="9"/>
        </w:numPr>
        <w:spacing w:after="0" w:line="240" w:lineRule="auto"/>
        <w:ind w:left="1332" w:hanging="481"/>
      </w:pPr>
      <w:r w:rsidRPr="00073889">
        <w:t>Het optreden als advocaat en/of vertegenwoordiger in civiele rechtszaken</w:t>
      </w:r>
    </w:p>
    <w:p w:rsidR="008C6DE6" w:rsidRPr="00073889" w:rsidRDefault="008C6DE6" w:rsidP="008C6DE6">
      <w:pPr>
        <w:pStyle w:val="Lijstalinea"/>
        <w:numPr>
          <w:ilvl w:val="4"/>
          <w:numId w:val="9"/>
        </w:numPr>
        <w:spacing w:after="0" w:line="240" w:lineRule="auto"/>
        <w:ind w:left="1332" w:hanging="481"/>
      </w:pPr>
      <w:r w:rsidRPr="00073889">
        <w:t>Juridische dienstverlening, niet zijnde het optreden als vertegenwoo</w:t>
      </w:r>
      <w:r w:rsidR="005A04B7" w:rsidRPr="00073889">
        <w:t>rdiger van de onderneming</w:t>
      </w:r>
    </w:p>
    <w:p w:rsidR="008C6DE6" w:rsidRPr="00073889" w:rsidRDefault="008C6DE6" w:rsidP="008C6DE6">
      <w:pPr>
        <w:pStyle w:val="Lijstalinea"/>
        <w:numPr>
          <w:ilvl w:val="3"/>
          <w:numId w:val="9"/>
        </w:numPr>
        <w:spacing w:after="0" w:line="240" w:lineRule="auto"/>
        <w:ind w:left="709" w:hanging="283"/>
      </w:pPr>
      <w:r w:rsidRPr="00073889">
        <w:t xml:space="preserve">het participeren in de interne audit van de auditcliënt en het verlenen van diensten die verband houden met de interne auditfunctie, waaronder: </w:t>
      </w:r>
    </w:p>
    <w:p w:rsidR="008C6DE6" w:rsidRPr="00073889" w:rsidRDefault="008C6DE6" w:rsidP="008C6DE6">
      <w:pPr>
        <w:pStyle w:val="Lijstalinea"/>
        <w:numPr>
          <w:ilvl w:val="4"/>
          <w:numId w:val="9"/>
        </w:numPr>
        <w:spacing w:after="0" w:line="240" w:lineRule="auto"/>
        <w:ind w:left="1332" w:hanging="481"/>
      </w:pPr>
      <w:r w:rsidRPr="00073889">
        <w:t>Het verlenen van interne accountantsdiensten</w:t>
      </w:r>
    </w:p>
    <w:p w:rsidR="008C6DE6" w:rsidRPr="00073889" w:rsidRDefault="00B80295" w:rsidP="008C6DE6">
      <w:pPr>
        <w:pStyle w:val="Lijstalinea"/>
        <w:numPr>
          <w:ilvl w:val="3"/>
          <w:numId w:val="9"/>
        </w:numPr>
        <w:spacing w:after="0" w:line="240" w:lineRule="auto"/>
        <w:ind w:left="709" w:hanging="283"/>
      </w:pPr>
      <w:r>
        <w:t>f</w:t>
      </w:r>
      <w:r w:rsidR="00E472B7" w:rsidRPr="00073889">
        <w:t>usie- en overname dienstverlening</w:t>
      </w:r>
      <w:r w:rsidR="008C6DE6" w:rsidRPr="00073889">
        <w:t xml:space="preserve">, waaronder; </w:t>
      </w:r>
    </w:p>
    <w:p w:rsidR="008C6DE6" w:rsidRPr="00073889" w:rsidRDefault="008C6DE6" w:rsidP="008C6DE6">
      <w:pPr>
        <w:pStyle w:val="Lijstalinea"/>
        <w:numPr>
          <w:ilvl w:val="4"/>
          <w:numId w:val="9"/>
        </w:numPr>
        <w:spacing w:after="0" w:line="240" w:lineRule="auto"/>
        <w:ind w:left="1332" w:hanging="481"/>
      </w:pPr>
      <w:r w:rsidRPr="00073889">
        <w:t>Het promoten van of handelen in de aandelen van de onderneming</w:t>
      </w:r>
    </w:p>
    <w:p w:rsidR="008C6DE6" w:rsidRPr="00073889" w:rsidRDefault="008C6DE6" w:rsidP="008C6DE6">
      <w:pPr>
        <w:pStyle w:val="Lijstalinea"/>
        <w:numPr>
          <w:ilvl w:val="4"/>
          <w:numId w:val="9"/>
        </w:numPr>
        <w:spacing w:after="0" w:line="240" w:lineRule="auto"/>
        <w:ind w:left="1332" w:hanging="481"/>
      </w:pPr>
      <w:r w:rsidRPr="00073889">
        <w:t>Het optreden als vertegenwoordiger van de onderneming</w:t>
      </w:r>
    </w:p>
    <w:p w:rsidR="008C6DE6" w:rsidRPr="00073889" w:rsidRDefault="008C6DE6" w:rsidP="008C6DE6">
      <w:pPr>
        <w:pStyle w:val="Lijstalinea"/>
        <w:numPr>
          <w:ilvl w:val="4"/>
          <w:numId w:val="9"/>
        </w:numPr>
        <w:spacing w:after="0" w:line="240" w:lineRule="auto"/>
        <w:ind w:left="1332" w:hanging="481"/>
      </w:pPr>
      <w:r w:rsidRPr="00073889">
        <w:t>Het onderhandelen namens de onderneming</w:t>
      </w:r>
    </w:p>
    <w:p w:rsidR="00E472B7" w:rsidRPr="00073889" w:rsidRDefault="00E472B7" w:rsidP="008C6DE6">
      <w:pPr>
        <w:pStyle w:val="Lijstalinea"/>
        <w:numPr>
          <w:ilvl w:val="4"/>
          <w:numId w:val="9"/>
        </w:numPr>
        <w:spacing w:after="0" w:line="240" w:lineRule="auto"/>
        <w:ind w:left="1332" w:hanging="481"/>
      </w:pPr>
      <w:r w:rsidRPr="00073889">
        <w:t>Het bij elkaar brengen van koper en verkoper</w:t>
      </w:r>
    </w:p>
    <w:p w:rsidR="00E472B7" w:rsidRPr="00073889" w:rsidRDefault="00E472B7" w:rsidP="008C6DE6">
      <w:pPr>
        <w:pStyle w:val="Lijstalinea"/>
        <w:numPr>
          <w:ilvl w:val="4"/>
          <w:numId w:val="9"/>
        </w:numPr>
        <w:spacing w:after="0" w:line="240" w:lineRule="auto"/>
        <w:ind w:left="1332" w:hanging="481"/>
      </w:pPr>
      <w:r w:rsidRPr="00073889">
        <w:t>Het optreden als makelaar of tussenpersoon</w:t>
      </w:r>
    </w:p>
    <w:p w:rsidR="00E472B7" w:rsidRPr="00073889" w:rsidRDefault="00E472B7" w:rsidP="008C6DE6">
      <w:pPr>
        <w:pStyle w:val="Lijstalinea"/>
        <w:numPr>
          <w:ilvl w:val="4"/>
          <w:numId w:val="9"/>
        </w:numPr>
        <w:spacing w:after="0" w:line="240" w:lineRule="auto"/>
        <w:ind w:left="1332" w:hanging="481"/>
      </w:pPr>
      <w:r w:rsidRPr="00073889">
        <w:t>Het optreden als beleggingsadviseur</w:t>
      </w:r>
    </w:p>
    <w:p w:rsidR="008C6DE6" w:rsidRPr="00073889" w:rsidRDefault="008C6DE6" w:rsidP="008C6DE6">
      <w:pPr>
        <w:pStyle w:val="Lijstalinea"/>
        <w:numPr>
          <w:ilvl w:val="3"/>
          <w:numId w:val="9"/>
        </w:numPr>
        <w:spacing w:after="0" w:line="240" w:lineRule="auto"/>
        <w:ind w:left="709" w:hanging="283"/>
      </w:pPr>
      <w:r w:rsidRPr="00073889">
        <w:t>leidinggeven aan de auditcliënt als lid van de directie, het managementteam of het toezichthoudend orgaan, waaronder</w:t>
      </w:r>
    </w:p>
    <w:p w:rsidR="008C6DE6" w:rsidRPr="00073889" w:rsidRDefault="008C6DE6" w:rsidP="008C6DE6">
      <w:pPr>
        <w:pStyle w:val="Lijstalinea"/>
        <w:numPr>
          <w:ilvl w:val="4"/>
          <w:numId w:val="9"/>
        </w:numPr>
        <w:spacing w:after="0" w:line="240" w:lineRule="auto"/>
        <w:ind w:left="1332" w:hanging="481"/>
      </w:pPr>
      <w:r w:rsidRPr="00073889">
        <w:t>Het bekleden van management functies</w:t>
      </w:r>
    </w:p>
    <w:p w:rsidR="008C6DE6" w:rsidRPr="00073889" w:rsidRDefault="008C6DE6" w:rsidP="008C6DE6">
      <w:pPr>
        <w:pStyle w:val="Lijstalinea"/>
        <w:numPr>
          <w:ilvl w:val="3"/>
          <w:numId w:val="9"/>
        </w:numPr>
        <w:spacing w:after="0" w:line="240" w:lineRule="auto"/>
        <w:ind w:left="709" w:hanging="283"/>
      </w:pPr>
      <w:r w:rsidRPr="00073889">
        <w:t xml:space="preserve">personeelsdiensten, met inbegrip van het werven van hogere leidinggevenden; </w:t>
      </w:r>
    </w:p>
    <w:p w:rsidR="008C6DE6" w:rsidRPr="00073889" w:rsidRDefault="008C6DE6" w:rsidP="008C6DE6">
      <w:pPr>
        <w:pStyle w:val="Lijstalinea"/>
        <w:numPr>
          <w:ilvl w:val="4"/>
          <w:numId w:val="9"/>
        </w:numPr>
        <w:spacing w:after="0" w:line="240" w:lineRule="auto"/>
        <w:ind w:left="1332" w:hanging="481"/>
      </w:pPr>
      <w:r w:rsidRPr="00073889">
        <w:t>Bemiddeling bij werving van (hoger) kader</w:t>
      </w:r>
    </w:p>
    <w:p w:rsidR="008C6DE6" w:rsidRPr="00073889" w:rsidRDefault="00B80295" w:rsidP="008C6DE6">
      <w:pPr>
        <w:pStyle w:val="Lijstalinea"/>
        <w:numPr>
          <w:ilvl w:val="3"/>
          <w:numId w:val="9"/>
        </w:numPr>
        <w:spacing w:after="0" w:line="240" w:lineRule="auto"/>
        <w:ind w:left="709" w:hanging="283"/>
      </w:pPr>
      <w:r>
        <w:t>r</w:t>
      </w:r>
      <w:r w:rsidR="00D71943" w:rsidRPr="00073889">
        <w:t>esultaatafhankelijke d</w:t>
      </w:r>
      <w:r w:rsidR="00E472B7" w:rsidRPr="00073889">
        <w:t xml:space="preserve">iensten </w:t>
      </w:r>
      <w:r w:rsidR="00D71943" w:rsidRPr="00073889">
        <w:t>(</w:t>
      </w:r>
      <w:r w:rsidR="00E472B7" w:rsidRPr="00073889">
        <w:t>waarbij het honorarium afhankelijk is van de uitkomst</w:t>
      </w:r>
      <w:r w:rsidR="00D71943" w:rsidRPr="00073889">
        <w:t>)</w:t>
      </w:r>
      <w:r w:rsidR="008C6DE6" w:rsidRPr="00073889">
        <w:t>.</w:t>
      </w:r>
    </w:p>
    <w:p w:rsidR="008C6DE6" w:rsidRPr="005C7CFB" w:rsidRDefault="008C6DE6" w:rsidP="008C6DE6">
      <w:pPr>
        <w:rPr>
          <w:sz w:val="24"/>
          <w:szCs w:val="24"/>
        </w:rPr>
      </w:pPr>
    </w:p>
    <w:sectPr w:rsidR="008C6DE6" w:rsidRPr="005C7CFB" w:rsidSect="00F832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2E2A"/>
    <w:multiLevelType w:val="hybridMultilevel"/>
    <w:tmpl w:val="5E401044"/>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AB91AA1"/>
    <w:multiLevelType w:val="hybridMultilevel"/>
    <w:tmpl w:val="30FCBF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30E2BEE"/>
    <w:multiLevelType w:val="hybridMultilevel"/>
    <w:tmpl w:val="7E469F92"/>
    <w:lvl w:ilvl="0" w:tplc="04130001">
      <w:start w:val="1"/>
      <w:numFmt w:val="bullet"/>
      <w:lvlText w:val=""/>
      <w:lvlJc w:val="left"/>
      <w:pPr>
        <w:ind w:left="1065" w:hanging="705"/>
      </w:pPr>
      <w:rPr>
        <w:rFonts w:ascii="Symbol" w:hAnsi="Symbol" w:hint="default"/>
      </w:rPr>
    </w:lvl>
    <w:lvl w:ilvl="1" w:tplc="04130001">
      <w:start w:val="1"/>
      <w:numFmt w:val="bullet"/>
      <w:lvlText w:val=""/>
      <w:lvlJc w:val="left"/>
      <w:pPr>
        <w:ind w:left="1785" w:hanging="705"/>
      </w:pPr>
      <w:rPr>
        <w:rFonts w:ascii="Symbol" w:hAnsi="Symbol" w:hint="default"/>
      </w:rPr>
    </w:lvl>
    <w:lvl w:ilvl="2" w:tplc="04130017">
      <w:start w:val="1"/>
      <w:numFmt w:val="lowerLetter"/>
      <w:lvlText w:val="%3)"/>
      <w:lvlJc w:val="left"/>
      <w:pPr>
        <w:ind w:left="644" w:hanging="360"/>
      </w:pPr>
      <w:rPr>
        <w:rFonts w:hint="default"/>
      </w:rPr>
    </w:lvl>
    <w:lvl w:ilvl="3" w:tplc="0413001B">
      <w:start w:val="1"/>
      <w:numFmt w:val="lowerRoman"/>
      <w:lvlText w:val="%4."/>
      <w:lvlJc w:val="right"/>
      <w:pPr>
        <w:ind w:left="2880" w:hanging="360"/>
      </w:pPr>
      <w:rPr>
        <w:rFonts w:hint="default"/>
      </w:rPr>
    </w:lvl>
    <w:lvl w:ilvl="4" w:tplc="04130001">
      <w:start w:val="1"/>
      <w:numFmt w:val="bullet"/>
      <w:lvlText w:val=""/>
      <w:lvlJc w:val="left"/>
      <w:pPr>
        <w:ind w:left="3600" w:hanging="360"/>
      </w:pPr>
      <w:rPr>
        <w:rFonts w:ascii="Symbol" w:hAnsi="Symbol" w:hint="default"/>
      </w:r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1113E1E"/>
    <w:multiLevelType w:val="hybridMultilevel"/>
    <w:tmpl w:val="A33A8FD0"/>
    <w:lvl w:ilvl="0" w:tplc="9E163B66">
      <w:start w:val="1"/>
      <w:numFmt w:val="decimal"/>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4AF7C10"/>
    <w:multiLevelType w:val="hybridMultilevel"/>
    <w:tmpl w:val="AA26E824"/>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3732389D"/>
    <w:multiLevelType w:val="hybridMultilevel"/>
    <w:tmpl w:val="39B4426A"/>
    <w:lvl w:ilvl="0" w:tplc="9E163B66">
      <w:start w:val="1"/>
      <w:numFmt w:val="decimal"/>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386537C7"/>
    <w:multiLevelType w:val="hybridMultilevel"/>
    <w:tmpl w:val="14381592"/>
    <w:lvl w:ilvl="0" w:tplc="9E163B6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nsid w:val="414952E5"/>
    <w:multiLevelType w:val="hybridMultilevel"/>
    <w:tmpl w:val="C80E3BBE"/>
    <w:lvl w:ilvl="0" w:tplc="0413000F">
      <w:start w:val="1"/>
      <w:numFmt w:val="decimal"/>
      <w:lvlText w:val="%1."/>
      <w:lvlJc w:val="left"/>
      <w:pPr>
        <w:ind w:left="765" w:hanging="360"/>
      </w:pPr>
    </w:lvl>
    <w:lvl w:ilvl="1" w:tplc="04130019" w:tentative="1">
      <w:start w:val="1"/>
      <w:numFmt w:val="lowerLetter"/>
      <w:lvlText w:val="%2."/>
      <w:lvlJc w:val="left"/>
      <w:pPr>
        <w:ind w:left="1485" w:hanging="360"/>
      </w:pPr>
    </w:lvl>
    <w:lvl w:ilvl="2" w:tplc="0413001B" w:tentative="1">
      <w:start w:val="1"/>
      <w:numFmt w:val="lowerRoman"/>
      <w:lvlText w:val="%3."/>
      <w:lvlJc w:val="right"/>
      <w:pPr>
        <w:ind w:left="2205" w:hanging="180"/>
      </w:pPr>
    </w:lvl>
    <w:lvl w:ilvl="3" w:tplc="0413000F" w:tentative="1">
      <w:start w:val="1"/>
      <w:numFmt w:val="decimal"/>
      <w:lvlText w:val="%4."/>
      <w:lvlJc w:val="left"/>
      <w:pPr>
        <w:ind w:left="2925" w:hanging="360"/>
      </w:pPr>
    </w:lvl>
    <w:lvl w:ilvl="4" w:tplc="04130019" w:tentative="1">
      <w:start w:val="1"/>
      <w:numFmt w:val="lowerLetter"/>
      <w:lvlText w:val="%5."/>
      <w:lvlJc w:val="left"/>
      <w:pPr>
        <w:ind w:left="3645" w:hanging="360"/>
      </w:pPr>
    </w:lvl>
    <w:lvl w:ilvl="5" w:tplc="0413001B" w:tentative="1">
      <w:start w:val="1"/>
      <w:numFmt w:val="lowerRoman"/>
      <w:lvlText w:val="%6."/>
      <w:lvlJc w:val="right"/>
      <w:pPr>
        <w:ind w:left="4365" w:hanging="180"/>
      </w:pPr>
    </w:lvl>
    <w:lvl w:ilvl="6" w:tplc="0413000F" w:tentative="1">
      <w:start w:val="1"/>
      <w:numFmt w:val="decimal"/>
      <w:lvlText w:val="%7."/>
      <w:lvlJc w:val="left"/>
      <w:pPr>
        <w:ind w:left="5085" w:hanging="360"/>
      </w:pPr>
    </w:lvl>
    <w:lvl w:ilvl="7" w:tplc="04130019" w:tentative="1">
      <w:start w:val="1"/>
      <w:numFmt w:val="lowerLetter"/>
      <w:lvlText w:val="%8."/>
      <w:lvlJc w:val="left"/>
      <w:pPr>
        <w:ind w:left="5805" w:hanging="360"/>
      </w:pPr>
    </w:lvl>
    <w:lvl w:ilvl="8" w:tplc="0413001B" w:tentative="1">
      <w:start w:val="1"/>
      <w:numFmt w:val="lowerRoman"/>
      <w:lvlText w:val="%9."/>
      <w:lvlJc w:val="right"/>
      <w:pPr>
        <w:ind w:left="6525" w:hanging="180"/>
      </w:pPr>
    </w:lvl>
  </w:abstractNum>
  <w:abstractNum w:abstractNumId="8">
    <w:nsid w:val="44E24D05"/>
    <w:multiLevelType w:val="hybridMultilevel"/>
    <w:tmpl w:val="1734AD58"/>
    <w:lvl w:ilvl="0" w:tplc="9E163B66">
      <w:start w:val="1"/>
      <w:numFmt w:val="decimal"/>
      <w:lvlText w:val="%1."/>
      <w:lvlJc w:val="left"/>
      <w:pPr>
        <w:ind w:left="1125" w:hanging="360"/>
      </w:pPr>
      <w:rPr>
        <w:rFonts w:hint="default"/>
      </w:rPr>
    </w:lvl>
    <w:lvl w:ilvl="1" w:tplc="04130019" w:tentative="1">
      <w:start w:val="1"/>
      <w:numFmt w:val="lowerLetter"/>
      <w:lvlText w:val="%2."/>
      <w:lvlJc w:val="left"/>
      <w:pPr>
        <w:ind w:left="1485" w:hanging="360"/>
      </w:pPr>
    </w:lvl>
    <w:lvl w:ilvl="2" w:tplc="0413001B" w:tentative="1">
      <w:start w:val="1"/>
      <w:numFmt w:val="lowerRoman"/>
      <w:lvlText w:val="%3."/>
      <w:lvlJc w:val="right"/>
      <w:pPr>
        <w:ind w:left="2205" w:hanging="180"/>
      </w:pPr>
    </w:lvl>
    <w:lvl w:ilvl="3" w:tplc="0413000F" w:tentative="1">
      <w:start w:val="1"/>
      <w:numFmt w:val="decimal"/>
      <w:lvlText w:val="%4."/>
      <w:lvlJc w:val="left"/>
      <w:pPr>
        <w:ind w:left="2925" w:hanging="360"/>
      </w:pPr>
    </w:lvl>
    <w:lvl w:ilvl="4" w:tplc="04130019" w:tentative="1">
      <w:start w:val="1"/>
      <w:numFmt w:val="lowerLetter"/>
      <w:lvlText w:val="%5."/>
      <w:lvlJc w:val="left"/>
      <w:pPr>
        <w:ind w:left="3645" w:hanging="360"/>
      </w:pPr>
    </w:lvl>
    <w:lvl w:ilvl="5" w:tplc="0413001B" w:tentative="1">
      <w:start w:val="1"/>
      <w:numFmt w:val="lowerRoman"/>
      <w:lvlText w:val="%6."/>
      <w:lvlJc w:val="right"/>
      <w:pPr>
        <w:ind w:left="4365" w:hanging="180"/>
      </w:pPr>
    </w:lvl>
    <w:lvl w:ilvl="6" w:tplc="0413000F" w:tentative="1">
      <w:start w:val="1"/>
      <w:numFmt w:val="decimal"/>
      <w:lvlText w:val="%7."/>
      <w:lvlJc w:val="left"/>
      <w:pPr>
        <w:ind w:left="5085" w:hanging="360"/>
      </w:pPr>
    </w:lvl>
    <w:lvl w:ilvl="7" w:tplc="04130019" w:tentative="1">
      <w:start w:val="1"/>
      <w:numFmt w:val="lowerLetter"/>
      <w:lvlText w:val="%8."/>
      <w:lvlJc w:val="left"/>
      <w:pPr>
        <w:ind w:left="5805" w:hanging="360"/>
      </w:pPr>
    </w:lvl>
    <w:lvl w:ilvl="8" w:tplc="0413001B" w:tentative="1">
      <w:start w:val="1"/>
      <w:numFmt w:val="lowerRoman"/>
      <w:lvlText w:val="%9."/>
      <w:lvlJc w:val="right"/>
      <w:pPr>
        <w:ind w:left="6525" w:hanging="180"/>
      </w:pPr>
    </w:lvl>
  </w:abstractNum>
  <w:abstractNum w:abstractNumId="9">
    <w:nsid w:val="50D24AE6"/>
    <w:multiLevelType w:val="hybridMultilevel"/>
    <w:tmpl w:val="16169B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72410063"/>
    <w:multiLevelType w:val="hybridMultilevel"/>
    <w:tmpl w:val="B2DAF4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10"/>
  </w:num>
  <w:num w:numId="3">
    <w:abstractNumId w:val="1"/>
  </w:num>
  <w:num w:numId="4">
    <w:abstractNumId w:val="6"/>
  </w:num>
  <w:num w:numId="5">
    <w:abstractNumId w:val="5"/>
  </w:num>
  <w:num w:numId="6">
    <w:abstractNumId w:val="8"/>
  </w:num>
  <w:num w:numId="7">
    <w:abstractNumId w:val="3"/>
  </w:num>
  <w:num w:numId="8">
    <w:abstractNumId w:val="9"/>
  </w:num>
  <w:num w:numId="9">
    <w:abstractNumId w:val="2"/>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31D"/>
    <w:rsid w:val="00073889"/>
    <w:rsid w:val="000B631D"/>
    <w:rsid w:val="00192CD1"/>
    <w:rsid w:val="0022521C"/>
    <w:rsid w:val="003776AC"/>
    <w:rsid w:val="00380330"/>
    <w:rsid w:val="003B793C"/>
    <w:rsid w:val="003C3C75"/>
    <w:rsid w:val="00436918"/>
    <w:rsid w:val="004833E6"/>
    <w:rsid w:val="005A04B7"/>
    <w:rsid w:val="005C7CFB"/>
    <w:rsid w:val="00695C10"/>
    <w:rsid w:val="007B645C"/>
    <w:rsid w:val="008C6DE6"/>
    <w:rsid w:val="00971FEE"/>
    <w:rsid w:val="00A33C05"/>
    <w:rsid w:val="00A72577"/>
    <w:rsid w:val="00A943F7"/>
    <w:rsid w:val="00AB037D"/>
    <w:rsid w:val="00B80295"/>
    <w:rsid w:val="00B94724"/>
    <w:rsid w:val="00C52CCB"/>
    <w:rsid w:val="00C61B28"/>
    <w:rsid w:val="00CE5375"/>
    <w:rsid w:val="00D046B3"/>
    <w:rsid w:val="00D47786"/>
    <w:rsid w:val="00D71943"/>
    <w:rsid w:val="00DB45F1"/>
    <w:rsid w:val="00E472B7"/>
    <w:rsid w:val="00F7567D"/>
    <w:rsid w:val="00F83255"/>
    <w:rsid w:val="00FA74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B631D"/>
    <w:pPr>
      <w:ind w:left="720"/>
      <w:contextualSpacing/>
    </w:pPr>
  </w:style>
  <w:style w:type="character" w:styleId="Verwijzingopmerking">
    <w:name w:val="annotation reference"/>
    <w:basedOn w:val="Standaardalinea-lettertype"/>
    <w:uiPriority w:val="99"/>
    <w:semiHidden/>
    <w:unhideWhenUsed/>
    <w:rsid w:val="0022521C"/>
    <w:rPr>
      <w:sz w:val="16"/>
      <w:szCs w:val="16"/>
    </w:rPr>
  </w:style>
  <w:style w:type="paragraph" w:styleId="Tekstopmerking">
    <w:name w:val="annotation text"/>
    <w:basedOn w:val="Standaard"/>
    <w:link w:val="TekstopmerkingChar"/>
    <w:uiPriority w:val="99"/>
    <w:semiHidden/>
    <w:unhideWhenUsed/>
    <w:rsid w:val="0022521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2521C"/>
    <w:rPr>
      <w:sz w:val="20"/>
      <w:szCs w:val="20"/>
    </w:rPr>
  </w:style>
  <w:style w:type="paragraph" w:styleId="Onderwerpvanopmerking">
    <w:name w:val="annotation subject"/>
    <w:basedOn w:val="Tekstopmerking"/>
    <w:next w:val="Tekstopmerking"/>
    <w:link w:val="OnderwerpvanopmerkingChar"/>
    <w:uiPriority w:val="99"/>
    <w:semiHidden/>
    <w:unhideWhenUsed/>
    <w:rsid w:val="0022521C"/>
    <w:rPr>
      <w:b/>
      <w:bCs/>
    </w:rPr>
  </w:style>
  <w:style w:type="character" w:customStyle="1" w:styleId="OnderwerpvanopmerkingChar">
    <w:name w:val="Onderwerp van opmerking Char"/>
    <w:basedOn w:val="TekstopmerkingChar"/>
    <w:link w:val="Onderwerpvanopmerking"/>
    <w:uiPriority w:val="99"/>
    <w:semiHidden/>
    <w:rsid w:val="0022521C"/>
    <w:rPr>
      <w:b/>
      <w:bCs/>
      <w:sz w:val="20"/>
      <w:szCs w:val="20"/>
    </w:rPr>
  </w:style>
  <w:style w:type="paragraph" w:styleId="Ballontekst">
    <w:name w:val="Balloon Text"/>
    <w:basedOn w:val="Standaard"/>
    <w:link w:val="BallontekstChar"/>
    <w:uiPriority w:val="99"/>
    <w:semiHidden/>
    <w:unhideWhenUsed/>
    <w:rsid w:val="0022521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252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B631D"/>
    <w:pPr>
      <w:ind w:left="720"/>
      <w:contextualSpacing/>
    </w:pPr>
  </w:style>
  <w:style w:type="character" w:styleId="Verwijzingopmerking">
    <w:name w:val="annotation reference"/>
    <w:basedOn w:val="Standaardalinea-lettertype"/>
    <w:uiPriority w:val="99"/>
    <w:semiHidden/>
    <w:unhideWhenUsed/>
    <w:rsid w:val="0022521C"/>
    <w:rPr>
      <w:sz w:val="16"/>
      <w:szCs w:val="16"/>
    </w:rPr>
  </w:style>
  <w:style w:type="paragraph" w:styleId="Tekstopmerking">
    <w:name w:val="annotation text"/>
    <w:basedOn w:val="Standaard"/>
    <w:link w:val="TekstopmerkingChar"/>
    <w:uiPriority w:val="99"/>
    <w:semiHidden/>
    <w:unhideWhenUsed/>
    <w:rsid w:val="0022521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2521C"/>
    <w:rPr>
      <w:sz w:val="20"/>
      <w:szCs w:val="20"/>
    </w:rPr>
  </w:style>
  <w:style w:type="paragraph" w:styleId="Onderwerpvanopmerking">
    <w:name w:val="annotation subject"/>
    <w:basedOn w:val="Tekstopmerking"/>
    <w:next w:val="Tekstopmerking"/>
    <w:link w:val="OnderwerpvanopmerkingChar"/>
    <w:uiPriority w:val="99"/>
    <w:semiHidden/>
    <w:unhideWhenUsed/>
    <w:rsid w:val="0022521C"/>
    <w:rPr>
      <w:b/>
      <w:bCs/>
    </w:rPr>
  </w:style>
  <w:style w:type="character" w:customStyle="1" w:styleId="OnderwerpvanopmerkingChar">
    <w:name w:val="Onderwerp van opmerking Char"/>
    <w:basedOn w:val="TekstopmerkingChar"/>
    <w:link w:val="Onderwerpvanopmerking"/>
    <w:uiPriority w:val="99"/>
    <w:semiHidden/>
    <w:rsid w:val="0022521C"/>
    <w:rPr>
      <w:b/>
      <w:bCs/>
      <w:sz w:val="20"/>
      <w:szCs w:val="20"/>
    </w:rPr>
  </w:style>
  <w:style w:type="paragraph" w:styleId="Ballontekst">
    <w:name w:val="Balloon Text"/>
    <w:basedOn w:val="Standaard"/>
    <w:link w:val="BallontekstChar"/>
    <w:uiPriority w:val="99"/>
    <w:semiHidden/>
    <w:unhideWhenUsed/>
    <w:rsid w:val="0022521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252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1052</Words>
  <Characters>5788</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NBA</Company>
  <LinksUpToDate>false</LinksUpToDate>
  <CharactersWithSpaces>6827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Wammes, Berry</dc:creator>
  <cp:lastModifiedBy>Jolanda</cp:lastModifiedBy>
  <cp:revision>2</cp:revision>
  <cp:lastPrinted>2012-02-02T08:08:00Z</cp:lastPrinted>
  <dcterms:created xsi:type="dcterms:W3CDTF">2012-02-17T18:10:00Z</dcterms:created>
  <dcterms:modified xsi:type="dcterms:W3CDTF">2012-02-17T18:10:00Z</dcterms:modified>
</cp:coreProperties>
</file>